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D7" w:rsidRDefault="00D5474A" w:rsidP="00D5474A">
      <w:pPr>
        <w:spacing w:after="0" w:line="240" w:lineRule="auto"/>
        <w:jc w:val="right"/>
        <w:rPr>
          <w:rFonts w:ascii="Verdana" w:eastAsia="Times New Roman" w:hAnsi="Verdana" w:cs="Calibri"/>
          <w:b/>
          <w:bCs/>
          <w:color w:val="000000"/>
          <w:sz w:val="20"/>
          <w:szCs w:val="20"/>
          <w:lang w:eastAsia="nl-NL"/>
        </w:rPr>
      </w:pPr>
      <w:r>
        <w:rPr>
          <w:noProof/>
        </w:rPr>
        <w:drawing>
          <wp:inline distT="0" distB="0" distL="0" distR="0" wp14:anchorId="3672FD4C">
            <wp:extent cx="1621155" cy="111569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21155" cy="1115695"/>
                    </a:xfrm>
                    <a:prstGeom prst="rect">
                      <a:avLst/>
                    </a:prstGeom>
                  </pic:spPr>
                </pic:pic>
              </a:graphicData>
            </a:graphic>
          </wp:inline>
        </w:drawing>
      </w:r>
    </w:p>
    <w:p w:rsidR="00170CAE" w:rsidRDefault="00170CAE" w:rsidP="00170CAE">
      <w:pPr>
        <w:spacing w:after="0" w:line="240" w:lineRule="auto"/>
        <w:rPr>
          <w:rFonts w:ascii="Verdana" w:eastAsia="Times New Roman" w:hAnsi="Verdana" w:cs="Calibri"/>
          <w:b/>
          <w:bCs/>
          <w:color w:val="000000"/>
          <w:sz w:val="20"/>
          <w:szCs w:val="20"/>
          <w:lang w:eastAsia="nl-NL"/>
        </w:rPr>
      </w:pPr>
      <w:r w:rsidRPr="007D40D7">
        <w:rPr>
          <w:rFonts w:ascii="Verdana" w:eastAsia="Times New Roman" w:hAnsi="Verdana" w:cs="Calibri"/>
          <w:b/>
          <w:bCs/>
          <w:color w:val="000000"/>
          <w:sz w:val="20"/>
          <w:szCs w:val="20"/>
          <w:lang w:eastAsia="nl-NL"/>
        </w:rPr>
        <w:t>Jaarrekening Progressief Heuvelrug</w:t>
      </w:r>
      <w:r>
        <w:rPr>
          <w:rFonts w:ascii="Verdana" w:eastAsia="Times New Roman" w:hAnsi="Verdana" w:cs="Calibri"/>
          <w:b/>
          <w:bCs/>
          <w:color w:val="000000"/>
          <w:sz w:val="20"/>
          <w:szCs w:val="20"/>
          <w:lang w:eastAsia="nl-NL"/>
        </w:rPr>
        <w:t xml:space="preserve"> 2018</w:t>
      </w:r>
    </w:p>
    <w:p w:rsidR="00D5474A" w:rsidRDefault="00D5474A" w:rsidP="007922F9">
      <w:pPr>
        <w:spacing w:after="0" w:line="240" w:lineRule="auto"/>
        <w:rPr>
          <w:rFonts w:ascii="Verdana" w:eastAsia="Times New Roman" w:hAnsi="Verdana" w:cs="Calibri"/>
          <w:bCs/>
          <w:color w:val="000000"/>
          <w:sz w:val="18"/>
          <w:szCs w:val="18"/>
          <w:lang w:eastAsia="nl-NL"/>
        </w:rPr>
      </w:pPr>
      <w:bookmarkStart w:id="0" w:name="_GoBack"/>
      <w:bookmarkEnd w:id="0"/>
    </w:p>
    <w:p w:rsidR="00170CAE" w:rsidRDefault="00170CAE" w:rsidP="007922F9">
      <w:pPr>
        <w:spacing w:after="0" w:line="240" w:lineRule="auto"/>
        <w:rPr>
          <w:rFonts w:ascii="Verdana" w:eastAsia="Times New Roman" w:hAnsi="Verdana" w:cs="Calibri"/>
          <w:bCs/>
          <w:color w:val="000000"/>
          <w:sz w:val="18"/>
          <w:szCs w:val="18"/>
          <w:lang w:eastAsia="nl-NL"/>
        </w:rPr>
      </w:pPr>
    </w:p>
    <w:p w:rsidR="007D40D7" w:rsidRPr="00B40B7E" w:rsidRDefault="004856A5" w:rsidP="007922F9">
      <w:pPr>
        <w:spacing w:after="0" w:line="240" w:lineRule="auto"/>
        <w:rPr>
          <w:rFonts w:ascii="Verdana" w:eastAsia="Times New Roman" w:hAnsi="Verdana" w:cs="Calibri"/>
          <w:bCs/>
          <w:color w:val="000000"/>
          <w:sz w:val="18"/>
          <w:szCs w:val="18"/>
          <w:lang w:eastAsia="nl-NL"/>
        </w:rPr>
      </w:pPr>
      <w:r>
        <w:rPr>
          <w:rFonts w:ascii="Verdana" w:eastAsia="Times New Roman" w:hAnsi="Verdana" w:cs="Calibri"/>
          <w:bCs/>
          <w:color w:val="000000"/>
          <w:sz w:val="18"/>
          <w:szCs w:val="18"/>
          <w:lang w:eastAsia="nl-NL"/>
        </w:rPr>
        <w:t>Opgericht in juli 2017 sloot Progressief Heuvelrug de boeken voor 2017 als volgt af:</w:t>
      </w:r>
    </w:p>
    <w:tbl>
      <w:tblPr>
        <w:tblW w:w="9498" w:type="dxa"/>
        <w:tblCellMar>
          <w:left w:w="70" w:type="dxa"/>
          <w:right w:w="70" w:type="dxa"/>
        </w:tblCellMar>
        <w:tblLook w:val="04A0" w:firstRow="1" w:lastRow="0" w:firstColumn="1" w:lastColumn="0" w:noHBand="0" w:noVBand="1"/>
      </w:tblPr>
      <w:tblGrid>
        <w:gridCol w:w="3969"/>
        <w:gridCol w:w="1276"/>
        <w:gridCol w:w="2977"/>
        <w:gridCol w:w="1276"/>
      </w:tblGrid>
      <w:tr w:rsidR="007D40D7" w:rsidRPr="001F7947" w:rsidTr="007D40D7">
        <w:trPr>
          <w:trHeight w:val="435"/>
        </w:trPr>
        <w:tc>
          <w:tcPr>
            <w:tcW w:w="3969" w:type="dxa"/>
            <w:tcBorders>
              <w:top w:val="nil"/>
              <w:left w:val="nil"/>
              <w:bottom w:val="single" w:sz="12" w:space="0" w:color="auto"/>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p>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lasten 2017</w:t>
            </w:r>
          </w:p>
        </w:tc>
        <w:tc>
          <w:tcPr>
            <w:tcW w:w="1276" w:type="dxa"/>
            <w:tcBorders>
              <w:top w:val="nil"/>
              <w:left w:val="nil"/>
              <w:bottom w:val="single" w:sz="12" w:space="0" w:color="auto"/>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p>
        </w:tc>
        <w:tc>
          <w:tcPr>
            <w:tcW w:w="2977" w:type="dxa"/>
            <w:tcBorders>
              <w:top w:val="nil"/>
              <w:left w:val="nil"/>
              <w:bottom w:val="single" w:sz="12" w:space="0" w:color="auto"/>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baten  2017</w:t>
            </w:r>
          </w:p>
        </w:tc>
        <w:tc>
          <w:tcPr>
            <w:tcW w:w="1276" w:type="dxa"/>
            <w:tcBorders>
              <w:top w:val="nil"/>
              <w:left w:val="nil"/>
              <w:bottom w:val="single" w:sz="12" w:space="0" w:color="auto"/>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p>
        </w:tc>
      </w:tr>
      <w:tr w:rsidR="007D40D7" w:rsidRPr="001F7947" w:rsidTr="007D40D7">
        <w:trPr>
          <w:trHeight w:val="315"/>
        </w:trPr>
        <w:tc>
          <w:tcPr>
            <w:tcW w:w="3969"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oprichtingskosten, voldaan door PvdA-afdeling</w:t>
            </w:r>
          </w:p>
        </w:tc>
        <w:tc>
          <w:tcPr>
            <w:tcW w:w="1276"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665,75 </w:t>
            </w:r>
          </w:p>
        </w:tc>
        <w:tc>
          <w:tcPr>
            <w:tcW w:w="2977"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contributies 2017</w:t>
            </w:r>
          </w:p>
        </w:tc>
        <w:tc>
          <w:tcPr>
            <w:tcW w:w="1276"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335,00 </w:t>
            </w:r>
          </w:p>
        </w:tc>
      </w:tr>
      <w:tr w:rsidR="007D40D7" w:rsidRPr="001F7947" w:rsidTr="007D40D7">
        <w:trPr>
          <w:trHeight w:val="300"/>
        </w:trPr>
        <w:tc>
          <w:tcPr>
            <w:tcW w:w="3969"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bankkosten 2017</w:t>
            </w:r>
          </w:p>
        </w:tc>
        <w:tc>
          <w:tcPr>
            <w:tcW w:w="1276"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6,90 </w:t>
            </w:r>
          </w:p>
        </w:tc>
        <w:tc>
          <w:tcPr>
            <w:tcW w:w="2977"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Calibri"/>
                <w:color w:val="A6A6A6" w:themeColor="background1" w:themeShade="A6"/>
                <w:sz w:val="16"/>
                <w:szCs w:val="16"/>
                <w:lang w:eastAsia="nl-NL"/>
              </w:rPr>
            </w:pPr>
          </w:p>
        </w:tc>
        <w:tc>
          <w:tcPr>
            <w:tcW w:w="1276" w:type="dxa"/>
            <w:tcBorders>
              <w:top w:val="nil"/>
              <w:left w:val="nil"/>
              <w:bottom w:val="nil"/>
              <w:right w:val="nil"/>
            </w:tcBorders>
            <w:shd w:val="clear" w:color="auto" w:fill="auto"/>
            <w:noWrap/>
            <w:vAlign w:val="bottom"/>
            <w:hideMark/>
          </w:tcPr>
          <w:p w:rsidR="007D40D7" w:rsidRPr="00170CAE" w:rsidRDefault="007D40D7" w:rsidP="007922F9">
            <w:pPr>
              <w:spacing w:after="0" w:line="240" w:lineRule="auto"/>
              <w:rPr>
                <w:rFonts w:ascii="Verdana" w:eastAsia="Times New Roman" w:hAnsi="Verdana" w:cs="Times New Roman"/>
                <w:color w:val="A6A6A6" w:themeColor="background1" w:themeShade="A6"/>
                <w:sz w:val="16"/>
                <w:szCs w:val="16"/>
                <w:lang w:eastAsia="nl-NL"/>
              </w:rPr>
            </w:pPr>
          </w:p>
        </w:tc>
      </w:tr>
      <w:tr w:rsidR="004856A5" w:rsidRPr="001F7947" w:rsidTr="007D40D7">
        <w:trPr>
          <w:trHeight w:val="315"/>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i/>
                <w:iCs/>
                <w:color w:val="A6A6A6" w:themeColor="background1" w:themeShade="A6"/>
                <w:sz w:val="16"/>
                <w:szCs w:val="16"/>
                <w:lang w:eastAsia="nl-NL"/>
              </w:rPr>
            </w:pPr>
            <w:r w:rsidRPr="00170CAE">
              <w:rPr>
                <w:rFonts w:ascii="Verdana" w:eastAsia="Times New Roman" w:hAnsi="Verdana" w:cs="Calibri"/>
                <w:i/>
                <w:iCs/>
                <w:color w:val="A6A6A6" w:themeColor="background1" w:themeShade="A6"/>
                <w:sz w:val="16"/>
                <w:szCs w:val="16"/>
                <w:lang w:eastAsia="nl-NL"/>
              </w:rPr>
              <w:t>negatief saldo 2017</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i/>
                <w:iCs/>
                <w:color w:val="A6A6A6" w:themeColor="background1" w:themeShade="A6"/>
                <w:sz w:val="16"/>
                <w:szCs w:val="16"/>
                <w:lang w:eastAsia="nl-NL"/>
              </w:rPr>
            </w:pPr>
            <w:r w:rsidRPr="00170CAE">
              <w:rPr>
                <w:rFonts w:ascii="Verdana" w:eastAsia="Times New Roman" w:hAnsi="Verdana" w:cs="Calibri"/>
                <w:i/>
                <w:iCs/>
                <w:color w:val="A6A6A6" w:themeColor="background1" w:themeShade="A6"/>
                <w:sz w:val="16"/>
                <w:szCs w:val="16"/>
                <w:lang w:eastAsia="nl-NL"/>
              </w:rPr>
              <w:t xml:space="preserve">    -337,65 </w:t>
            </w: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i/>
                <w:iCs/>
                <w:color w:val="A6A6A6" w:themeColor="background1" w:themeShade="A6"/>
                <w:sz w:val="16"/>
                <w:szCs w:val="16"/>
                <w:lang w:eastAsia="nl-NL"/>
              </w:rPr>
            </w:pP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Times New Roman"/>
                <w:color w:val="A6A6A6" w:themeColor="background1" w:themeShade="A6"/>
                <w:sz w:val="16"/>
                <w:szCs w:val="16"/>
                <w:lang w:eastAsia="nl-NL"/>
              </w:rPr>
            </w:pPr>
          </w:p>
        </w:tc>
      </w:tr>
      <w:tr w:rsidR="004856A5" w:rsidRPr="001F7947" w:rsidTr="007D40D7">
        <w:trPr>
          <w:trHeight w:val="300"/>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Times New Roman"/>
                <w:color w:val="A6A6A6" w:themeColor="background1" w:themeShade="A6"/>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335,00 </w:t>
            </w: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335,00 </w:t>
            </w:r>
          </w:p>
        </w:tc>
      </w:tr>
      <w:tr w:rsidR="004856A5" w:rsidRPr="001F7947" w:rsidTr="007D40D7">
        <w:trPr>
          <w:trHeight w:val="315"/>
        </w:trPr>
        <w:tc>
          <w:tcPr>
            <w:tcW w:w="9498" w:type="dxa"/>
            <w:gridSpan w:val="4"/>
            <w:tcBorders>
              <w:top w:val="nil"/>
              <w:left w:val="nil"/>
              <w:bottom w:val="single" w:sz="12" w:space="0" w:color="auto"/>
              <w:right w:val="nil"/>
            </w:tcBorders>
            <w:shd w:val="clear" w:color="auto" w:fill="auto"/>
            <w:noWrap/>
            <w:vAlign w:val="bottom"/>
            <w:hideMark/>
          </w:tcPr>
          <w:p w:rsidR="004856A5" w:rsidRPr="00170CAE" w:rsidRDefault="004856A5" w:rsidP="004856A5">
            <w:pPr>
              <w:spacing w:after="0" w:line="240" w:lineRule="auto"/>
              <w:jc w:val="center"/>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balans ultimo 2017</w:t>
            </w:r>
          </w:p>
        </w:tc>
      </w:tr>
      <w:tr w:rsidR="004856A5" w:rsidRPr="001F7947" w:rsidTr="007D40D7">
        <w:trPr>
          <w:trHeight w:val="315"/>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jc w:val="center"/>
              <w:rPr>
                <w:rFonts w:ascii="Verdana" w:eastAsia="Times New Roman" w:hAnsi="Verdana" w:cs="Calibri"/>
                <w:color w:val="A6A6A6" w:themeColor="background1" w:themeShade="A6"/>
                <w:sz w:val="16"/>
                <w:szCs w:val="16"/>
                <w:lang w:eastAsia="nl-NL"/>
              </w:rPr>
            </w:pP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Times New Roman"/>
                <w:color w:val="A6A6A6" w:themeColor="background1" w:themeShade="A6"/>
                <w:sz w:val="16"/>
                <w:szCs w:val="16"/>
                <w:lang w:eastAsia="nl-NL"/>
              </w:rPr>
            </w:pP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Algemene Reserve</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-337,65 </w:t>
            </w:r>
          </w:p>
        </w:tc>
      </w:tr>
      <w:tr w:rsidR="004856A5" w:rsidRPr="001F7947" w:rsidTr="007D40D7">
        <w:trPr>
          <w:trHeight w:val="300"/>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nog te ontvangen contributies 2017</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125,00 </w:t>
            </w: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Verkiezingsfonds GR18</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   </w:t>
            </w:r>
          </w:p>
        </w:tc>
      </w:tr>
      <w:tr w:rsidR="004856A5" w:rsidRPr="001F7947" w:rsidTr="007D40D7">
        <w:trPr>
          <w:trHeight w:val="300"/>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banksaldo ultimo 2017</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153,10 </w:t>
            </w: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Lening verstrekt door afd.</w:t>
            </w:r>
            <w:r w:rsidR="001F7947" w:rsidRPr="00170CAE">
              <w:rPr>
                <w:rFonts w:ascii="Verdana" w:eastAsia="Times New Roman" w:hAnsi="Verdana" w:cs="Calibri"/>
                <w:color w:val="A6A6A6" w:themeColor="background1" w:themeShade="A6"/>
                <w:sz w:val="16"/>
                <w:szCs w:val="16"/>
                <w:lang w:eastAsia="nl-NL"/>
              </w:rPr>
              <w:t xml:space="preserve"> </w:t>
            </w:r>
            <w:r w:rsidRPr="00170CAE">
              <w:rPr>
                <w:rFonts w:ascii="Verdana" w:eastAsia="Times New Roman" w:hAnsi="Verdana" w:cs="Calibri"/>
                <w:color w:val="A6A6A6" w:themeColor="background1" w:themeShade="A6"/>
                <w:sz w:val="16"/>
                <w:szCs w:val="16"/>
                <w:lang w:eastAsia="nl-NL"/>
              </w:rPr>
              <w:t xml:space="preserve">PvdA </w:t>
            </w:r>
          </w:p>
        </w:tc>
        <w:tc>
          <w:tcPr>
            <w:tcW w:w="1276"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jc w:val="center"/>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615,75</w:t>
            </w:r>
          </w:p>
        </w:tc>
      </w:tr>
      <w:tr w:rsidR="004856A5" w:rsidRPr="001F7947" w:rsidTr="007D40D7">
        <w:trPr>
          <w:trHeight w:val="300"/>
        </w:trPr>
        <w:tc>
          <w:tcPr>
            <w:tcW w:w="3969"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Times New Roman"/>
                <w:color w:val="A6A6A6" w:themeColor="background1" w:themeShade="A6"/>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278,10 </w:t>
            </w:r>
          </w:p>
        </w:tc>
        <w:tc>
          <w:tcPr>
            <w:tcW w:w="2977" w:type="dxa"/>
            <w:tcBorders>
              <w:top w:val="nil"/>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4856A5" w:rsidRPr="00170CAE" w:rsidRDefault="004856A5" w:rsidP="004856A5">
            <w:pPr>
              <w:spacing w:after="0" w:line="240" w:lineRule="auto"/>
              <w:rPr>
                <w:rFonts w:ascii="Verdana" w:eastAsia="Times New Roman" w:hAnsi="Verdana" w:cs="Calibri"/>
                <w:color w:val="A6A6A6" w:themeColor="background1" w:themeShade="A6"/>
                <w:sz w:val="16"/>
                <w:szCs w:val="16"/>
                <w:lang w:eastAsia="nl-NL"/>
              </w:rPr>
            </w:pPr>
            <w:r w:rsidRPr="00170CAE">
              <w:rPr>
                <w:rFonts w:ascii="Verdana" w:eastAsia="Times New Roman" w:hAnsi="Verdana" w:cs="Calibri"/>
                <w:color w:val="A6A6A6" w:themeColor="background1" w:themeShade="A6"/>
                <w:sz w:val="16"/>
                <w:szCs w:val="16"/>
                <w:lang w:eastAsia="nl-NL"/>
              </w:rPr>
              <w:t xml:space="preserve">     278,10 </w:t>
            </w:r>
          </w:p>
        </w:tc>
      </w:tr>
    </w:tbl>
    <w:p w:rsidR="006B406C" w:rsidRDefault="00E4797E" w:rsidP="007922F9">
      <w:pPr>
        <w:spacing w:after="0"/>
        <w:rPr>
          <w:rFonts w:ascii="Verdana" w:hAnsi="Verdana"/>
          <w:sz w:val="16"/>
          <w:szCs w:val="16"/>
        </w:rPr>
      </w:pPr>
    </w:p>
    <w:p w:rsidR="001F7947" w:rsidRDefault="001F7947" w:rsidP="007922F9">
      <w:pPr>
        <w:spacing w:after="0"/>
        <w:rPr>
          <w:rFonts w:ascii="Verdana" w:hAnsi="Verdana"/>
          <w:iCs/>
          <w:sz w:val="18"/>
          <w:szCs w:val="18"/>
        </w:rPr>
      </w:pPr>
    </w:p>
    <w:p w:rsidR="001F7947" w:rsidRDefault="001F7947" w:rsidP="007922F9">
      <w:pPr>
        <w:spacing w:after="0"/>
        <w:rPr>
          <w:rFonts w:ascii="Verdana" w:hAnsi="Verdana"/>
          <w:iCs/>
          <w:sz w:val="18"/>
          <w:szCs w:val="18"/>
        </w:rPr>
      </w:pPr>
      <w:r>
        <w:rPr>
          <w:rFonts w:ascii="Verdana" w:hAnsi="Verdana"/>
          <w:iCs/>
          <w:sz w:val="18"/>
          <w:szCs w:val="18"/>
        </w:rPr>
        <w:t>Ultimo 2018 ziet de jaarrekening er als volgt uit:</w:t>
      </w:r>
    </w:p>
    <w:p w:rsidR="00FF168A" w:rsidRDefault="00FF168A" w:rsidP="007922F9">
      <w:pPr>
        <w:spacing w:after="0"/>
        <w:rPr>
          <w:rFonts w:ascii="Verdana" w:hAnsi="Verdana"/>
          <w:iCs/>
          <w:sz w:val="18"/>
          <w:szCs w:val="18"/>
        </w:rPr>
      </w:pPr>
    </w:p>
    <w:tbl>
      <w:tblPr>
        <w:tblW w:w="9498" w:type="dxa"/>
        <w:tblCellMar>
          <w:left w:w="70" w:type="dxa"/>
          <w:right w:w="70" w:type="dxa"/>
        </w:tblCellMar>
        <w:tblLook w:val="04A0" w:firstRow="1" w:lastRow="0" w:firstColumn="1" w:lastColumn="0" w:noHBand="0" w:noVBand="1"/>
      </w:tblPr>
      <w:tblGrid>
        <w:gridCol w:w="4111"/>
        <w:gridCol w:w="1134"/>
        <w:gridCol w:w="2977"/>
        <w:gridCol w:w="1276"/>
      </w:tblGrid>
      <w:tr w:rsidR="001F7947" w:rsidRPr="001F7947" w:rsidTr="001F7947">
        <w:trPr>
          <w:trHeight w:val="315"/>
        </w:trPr>
        <w:tc>
          <w:tcPr>
            <w:tcW w:w="4111" w:type="dxa"/>
            <w:tcBorders>
              <w:top w:val="nil"/>
              <w:left w:val="nil"/>
              <w:bottom w:val="single" w:sz="12" w:space="0" w:color="auto"/>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b/>
                <w:bCs/>
                <w:color w:val="000000"/>
                <w:sz w:val="20"/>
                <w:szCs w:val="20"/>
                <w:lang w:eastAsia="nl-NL"/>
              </w:rPr>
            </w:pPr>
            <w:r w:rsidRPr="001F7947">
              <w:rPr>
                <w:rFonts w:ascii="Verdana" w:eastAsia="Times New Roman" w:hAnsi="Verdana" w:cs="Calibri"/>
                <w:b/>
                <w:bCs/>
                <w:color w:val="000000"/>
                <w:sz w:val="20"/>
                <w:szCs w:val="20"/>
                <w:lang w:eastAsia="nl-NL"/>
              </w:rPr>
              <w:t>lasten 2018</w:t>
            </w:r>
          </w:p>
        </w:tc>
        <w:tc>
          <w:tcPr>
            <w:tcW w:w="1134" w:type="dxa"/>
            <w:tcBorders>
              <w:top w:val="nil"/>
              <w:left w:val="nil"/>
              <w:bottom w:val="single" w:sz="12" w:space="0" w:color="auto"/>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p>
        </w:tc>
        <w:tc>
          <w:tcPr>
            <w:tcW w:w="2977" w:type="dxa"/>
            <w:tcBorders>
              <w:top w:val="nil"/>
              <w:left w:val="nil"/>
              <w:bottom w:val="single" w:sz="12" w:space="0" w:color="auto"/>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b/>
                <w:bCs/>
                <w:color w:val="000000"/>
                <w:sz w:val="20"/>
                <w:szCs w:val="20"/>
                <w:lang w:eastAsia="nl-NL"/>
              </w:rPr>
            </w:pPr>
            <w:r w:rsidRPr="001F7947">
              <w:rPr>
                <w:rFonts w:ascii="Verdana" w:eastAsia="Times New Roman" w:hAnsi="Verdana" w:cs="Calibri"/>
                <w:b/>
                <w:bCs/>
                <w:color w:val="000000"/>
                <w:sz w:val="20"/>
                <w:szCs w:val="20"/>
                <w:lang w:eastAsia="nl-NL"/>
              </w:rPr>
              <w:t>baten  2018</w:t>
            </w:r>
          </w:p>
        </w:tc>
        <w:tc>
          <w:tcPr>
            <w:tcW w:w="1276" w:type="dxa"/>
            <w:tcBorders>
              <w:top w:val="nil"/>
              <w:left w:val="nil"/>
              <w:bottom w:val="single" w:sz="12" w:space="0" w:color="auto"/>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w:t>
            </w:r>
          </w:p>
        </w:tc>
      </w:tr>
      <w:tr w:rsidR="001F7947" w:rsidRPr="001F7947" w:rsidTr="001F7947">
        <w:trPr>
          <w:trHeight w:val="600"/>
        </w:trPr>
        <w:tc>
          <w:tcPr>
            <w:tcW w:w="4111" w:type="dxa"/>
            <w:tcBorders>
              <w:top w:val="nil"/>
              <w:left w:val="nil"/>
              <w:bottom w:val="nil"/>
              <w:right w:val="nil"/>
            </w:tcBorders>
            <w:shd w:val="clear" w:color="auto" w:fill="auto"/>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overdracht ontvangen giften t.b.v. OPEN-campagne GR 2018</w:t>
            </w: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250,00 </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contr</w:t>
            </w:r>
            <w:r>
              <w:rPr>
                <w:rFonts w:ascii="Verdana" w:eastAsia="Times New Roman" w:hAnsi="Verdana" w:cs="Calibri"/>
                <w:color w:val="000000"/>
                <w:sz w:val="16"/>
                <w:szCs w:val="16"/>
                <w:lang w:eastAsia="nl-NL"/>
              </w:rPr>
              <w:t>i</w:t>
            </w:r>
            <w:r w:rsidRPr="001F7947">
              <w:rPr>
                <w:rFonts w:ascii="Verdana" w:eastAsia="Times New Roman" w:hAnsi="Verdana" w:cs="Calibri"/>
                <w:color w:val="000000"/>
                <w:sz w:val="16"/>
                <w:szCs w:val="16"/>
                <w:lang w:eastAsia="nl-NL"/>
              </w:rPr>
              <w:t>buties en afdrachten 2018</w:t>
            </w:r>
          </w:p>
        </w:tc>
        <w:tc>
          <w:tcPr>
            <w:tcW w:w="1276" w:type="dxa"/>
            <w:tcBorders>
              <w:top w:val="single" w:sz="8" w:space="0" w:color="auto"/>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934,29 </w:t>
            </w:r>
          </w:p>
        </w:tc>
      </w:tr>
      <w:tr w:rsidR="001F7947" w:rsidRPr="001F7947" w:rsidTr="001F7947">
        <w:trPr>
          <w:trHeight w:val="45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kosten website en logo</w:t>
            </w:r>
            <w:r w:rsidR="00D5474A">
              <w:rPr>
                <w:rFonts w:ascii="Verdana" w:eastAsia="Times New Roman" w:hAnsi="Verdana" w:cs="Calibri"/>
                <w:color w:val="000000"/>
                <w:sz w:val="16"/>
                <w:szCs w:val="16"/>
                <w:lang w:eastAsia="nl-NL"/>
              </w:rPr>
              <w:t xml:space="preserve"> PH</w:t>
            </w: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162,08 </w:t>
            </w:r>
          </w:p>
        </w:tc>
        <w:tc>
          <w:tcPr>
            <w:tcW w:w="2977" w:type="dxa"/>
            <w:tcBorders>
              <w:top w:val="nil"/>
              <w:left w:val="nil"/>
              <w:bottom w:val="nil"/>
              <w:right w:val="nil"/>
            </w:tcBorders>
            <w:shd w:val="clear" w:color="auto" w:fill="auto"/>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ontvangen giften t.b.v. OPEN-campagne GR 2018</w:t>
            </w: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250,00 </w:t>
            </w: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bankkosten 2017</w:t>
            </w: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109,43 </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b/>
                <w:bCs/>
                <w:i/>
                <w:iCs/>
                <w:color w:val="000000"/>
                <w:sz w:val="16"/>
                <w:szCs w:val="16"/>
                <w:lang w:eastAsia="nl-NL"/>
              </w:rPr>
            </w:pPr>
            <w:r w:rsidRPr="001F7947">
              <w:rPr>
                <w:rFonts w:ascii="Verdana" w:eastAsia="Times New Roman" w:hAnsi="Verdana" w:cs="Calibri"/>
                <w:b/>
                <w:bCs/>
                <w:i/>
                <w:iCs/>
                <w:color w:val="000000"/>
                <w:sz w:val="16"/>
                <w:szCs w:val="16"/>
                <w:lang w:eastAsia="nl-NL"/>
              </w:rPr>
              <w:t>positief saldo 2018</w:t>
            </w: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jc w:val="right"/>
              <w:rPr>
                <w:rFonts w:ascii="Verdana" w:eastAsia="Times New Roman" w:hAnsi="Verdana" w:cs="Calibri"/>
                <w:b/>
                <w:bCs/>
                <w:i/>
                <w:iCs/>
                <w:color w:val="000000"/>
                <w:sz w:val="16"/>
                <w:szCs w:val="16"/>
                <w:lang w:eastAsia="nl-NL"/>
              </w:rPr>
            </w:pPr>
            <w:r w:rsidRPr="001F7947">
              <w:rPr>
                <w:rFonts w:ascii="Verdana" w:eastAsia="Times New Roman" w:hAnsi="Verdana" w:cs="Calibri"/>
                <w:b/>
                <w:bCs/>
                <w:i/>
                <w:iCs/>
                <w:color w:val="000000"/>
                <w:sz w:val="16"/>
                <w:szCs w:val="16"/>
                <w:lang w:eastAsia="nl-NL"/>
              </w:rPr>
              <w:t>662,78</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jc w:val="right"/>
              <w:rPr>
                <w:rFonts w:ascii="Verdana" w:eastAsia="Times New Roman" w:hAnsi="Verdana" w:cs="Calibri"/>
                <w:b/>
                <w:bCs/>
                <w:i/>
                <w:iCs/>
                <w:color w:val="000000"/>
                <w:sz w:val="16"/>
                <w:szCs w:val="16"/>
                <w:lang w:eastAsia="nl-NL"/>
              </w:rPr>
            </w:pP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1134" w:type="dxa"/>
            <w:tcBorders>
              <w:top w:val="single" w:sz="8" w:space="0" w:color="auto"/>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w:t>
            </w:r>
            <w:r>
              <w:rPr>
                <w:rFonts w:ascii="Verdana" w:eastAsia="Times New Roman" w:hAnsi="Verdana" w:cs="Calibri"/>
                <w:color w:val="000000"/>
                <w:sz w:val="16"/>
                <w:szCs w:val="16"/>
                <w:lang w:eastAsia="nl-NL"/>
              </w:rPr>
              <w:t xml:space="preserve"> </w:t>
            </w:r>
            <w:r w:rsidRPr="001F7947">
              <w:rPr>
                <w:rFonts w:ascii="Verdana" w:eastAsia="Times New Roman" w:hAnsi="Verdana" w:cs="Calibri"/>
                <w:color w:val="000000"/>
                <w:sz w:val="16"/>
                <w:szCs w:val="16"/>
                <w:lang w:eastAsia="nl-NL"/>
              </w:rPr>
              <w:t xml:space="preserve">1.184,29 </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1.184,29 </w:t>
            </w: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r>
      <w:tr w:rsidR="001F7947" w:rsidRPr="001F7947" w:rsidTr="001F7947">
        <w:trPr>
          <w:trHeight w:val="315"/>
        </w:trPr>
        <w:tc>
          <w:tcPr>
            <w:tcW w:w="9498" w:type="dxa"/>
            <w:gridSpan w:val="4"/>
            <w:tcBorders>
              <w:top w:val="nil"/>
              <w:left w:val="nil"/>
              <w:bottom w:val="single" w:sz="12" w:space="0" w:color="auto"/>
              <w:right w:val="nil"/>
            </w:tcBorders>
            <w:shd w:val="clear" w:color="auto" w:fill="auto"/>
            <w:noWrap/>
            <w:vAlign w:val="bottom"/>
            <w:hideMark/>
          </w:tcPr>
          <w:p w:rsidR="001F7947" w:rsidRPr="001F7947" w:rsidRDefault="001F7947" w:rsidP="001F7947">
            <w:pPr>
              <w:spacing w:after="0" w:line="240" w:lineRule="auto"/>
              <w:jc w:val="center"/>
              <w:rPr>
                <w:rFonts w:ascii="Verdana" w:eastAsia="Times New Roman" w:hAnsi="Verdana" w:cs="Calibri"/>
                <w:b/>
                <w:bCs/>
                <w:color w:val="000000"/>
                <w:sz w:val="20"/>
                <w:szCs w:val="20"/>
                <w:lang w:eastAsia="nl-NL"/>
              </w:rPr>
            </w:pPr>
            <w:r w:rsidRPr="001F7947">
              <w:rPr>
                <w:rFonts w:ascii="Verdana" w:eastAsia="Times New Roman" w:hAnsi="Verdana" w:cs="Calibri"/>
                <w:b/>
                <w:bCs/>
                <w:color w:val="000000"/>
                <w:sz w:val="20"/>
                <w:szCs w:val="20"/>
                <w:lang w:eastAsia="nl-NL"/>
              </w:rPr>
              <w:t>balans ultimo 2018</w:t>
            </w:r>
          </w:p>
        </w:tc>
      </w:tr>
      <w:tr w:rsidR="001F7947" w:rsidRPr="001F7947" w:rsidTr="001F7947">
        <w:trPr>
          <w:trHeight w:val="315"/>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jc w:val="center"/>
              <w:rPr>
                <w:rFonts w:ascii="Verdana" w:eastAsia="Times New Roman" w:hAnsi="Verdana" w:cs="Calibri"/>
                <w:b/>
                <w:bCs/>
                <w:color w:val="000000"/>
                <w:sz w:val="16"/>
                <w:szCs w:val="16"/>
                <w:lang w:eastAsia="nl-NL"/>
              </w:rPr>
            </w:pP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Algemene Reserve</w:t>
            </w: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325,13 </w:t>
            </w: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Verkiezingsfonds GR</w:t>
            </w:r>
          </w:p>
        </w:tc>
        <w:tc>
          <w:tcPr>
            <w:tcW w:w="1276"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   </w:t>
            </w: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Banksaldo ultimo 2018</w:t>
            </w:r>
          </w:p>
        </w:tc>
        <w:tc>
          <w:tcPr>
            <w:tcW w:w="1134"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940,88 </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Lening verstrekt door afd. PvdA </w:t>
            </w:r>
          </w:p>
        </w:tc>
        <w:tc>
          <w:tcPr>
            <w:tcW w:w="1276" w:type="dxa"/>
            <w:tcBorders>
              <w:top w:val="nil"/>
              <w:left w:val="nil"/>
              <w:bottom w:val="nil"/>
              <w:right w:val="nil"/>
            </w:tcBorders>
            <w:shd w:val="clear" w:color="auto" w:fill="auto"/>
            <w:noWrap/>
            <w:vAlign w:val="bottom"/>
            <w:hideMark/>
          </w:tcPr>
          <w:p w:rsidR="001F7947" w:rsidRPr="001F7947" w:rsidRDefault="00170CAE" w:rsidP="00170CAE">
            <w:pPr>
              <w:spacing w:after="0" w:line="240" w:lineRule="auto"/>
              <w:jc w:val="center"/>
              <w:rPr>
                <w:rFonts w:ascii="Verdana" w:eastAsia="Times New Roman" w:hAnsi="Verdana" w:cs="Calibri"/>
                <w:color w:val="000000"/>
                <w:sz w:val="16"/>
                <w:szCs w:val="16"/>
                <w:lang w:eastAsia="nl-NL"/>
              </w:rPr>
            </w:pPr>
            <w:r>
              <w:rPr>
                <w:rFonts w:ascii="Verdana" w:eastAsia="Times New Roman" w:hAnsi="Verdana" w:cs="Calibri"/>
                <w:color w:val="000000"/>
                <w:sz w:val="16"/>
                <w:szCs w:val="16"/>
                <w:lang w:eastAsia="nl-NL"/>
              </w:rPr>
              <w:t xml:space="preserve">    </w:t>
            </w:r>
            <w:r w:rsidR="001F7947" w:rsidRPr="001F7947">
              <w:rPr>
                <w:rFonts w:ascii="Verdana" w:eastAsia="Times New Roman" w:hAnsi="Verdana" w:cs="Calibri"/>
                <w:color w:val="000000"/>
                <w:sz w:val="16"/>
                <w:szCs w:val="16"/>
                <w:lang w:eastAsia="nl-NL"/>
              </w:rPr>
              <w:t>615,75</w:t>
            </w:r>
          </w:p>
        </w:tc>
      </w:tr>
      <w:tr w:rsidR="001F7947" w:rsidRPr="001F7947" w:rsidTr="001F7947">
        <w:trPr>
          <w:trHeight w:val="300"/>
        </w:trPr>
        <w:tc>
          <w:tcPr>
            <w:tcW w:w="4111"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Times New Roman" w:eastAsia="Times New Roman" w:hAnsi="Times New Roman" w:cs="Times New Roman"/>
                <w:sz w:val="20"/>
                <w:szCs w:val="20"/>
                <w:lang w:eastAsia="nl-NL"/>
              </w:rPr>
            </w:pPr>
          </w:p>
        </w:tc>
        <w:tc>
          <w:tcPr>
            <w:tcW w:w="1134" w:type="dxa"/>
            <w:tcBorders>
              <w:top w:val="single" w:sz="8" w:space="0" w:color="auto"/>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940,88 </w:t>
            </w:r>
          </w:p>
        </w:tc>
        <w:tc>
          <w:tcPr>
            <w:tcW w:w="2977" w:type="dxa"/>
            <w:tcBorders>
              <w:top w:val="nil"/>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rsidR="001F7947" w:rsidRPr="001F7947" w:rsidRDefault="001F7947" w:rsidP="001F7947">
            <w:pPr>
              <w:spacing w:after="0" w:line="240" w:lineRule="auto"/>
              <w:rPr>
                <w:rFonts w:ascii="Verdana" w:eastAsia="Times New Roman" w:hAnsi="Verdana" w:cs="Calibri"/>
                <w:color w:val="000000"/>
                <w:sz w:val="16"/>
                <w:szCs w:val="16"/>
                <w:lang w:eastAsia="nl-NL"/>
              </w:rPr>
            </w:pPr>
            <w:r w:rsidRPr="001F7947">
              <w:rPr>
                <w:rFonts w:ascii="Verdana" w:eastAsia="Times New Roman" w:hAnsi="Verdana" w:cs="Calibri"/>
                <w:color w:val="000000"/>
                <w:sz w:val="16"/>
                <w:szCs w:val="16"/>
                <w:lang w:eastAsia="nl-NL"/>
              </w:rPr>
              <w:t xml:space="preserve">       940,88 </w:t>
            </w:r>
          </w:p>
        </w:tc>
      </w:tr>
    </w:tbl>
    <w:p w:rsidR="001F7947" w:rsidRDefault="001F7947" w:rsidP="007922F9">
      <w:pPr>
        <w:spacing w:after="0"/>
        <w:rPr>
          <w:rFonts w:ascii="Verdana" w:hAnsi="Verdana"/>
          <w:iCs/>
          <w:sz w:val="18"/>
          <w:szCs w:val="18"/>
        </w:rPr>
      </w:pPr>
    </w:p>
    <w:p w:rsidR="00170CAE" w:rsidRDefault="00170CAE" w:rsidP="007922F9">
      <w:pPr>
        <w:spacing w:after="0"/>
        <w:rPr>
          <w:rFonts w:ascii="Verdana" w:hAnsi="Verdana"/>
          <w:iCs/>
          <w:sz w:val="18"/>
          <w:szCs w:val="18"/>
        </w:rPr>
      </w:pPr>
    </w:p>
    <w:p w:rsidR="00170CAE" w:rsidRDefault="00170CAE" w:rsidP="007922F9">
      <w:pPr>
        <w:spacing w:after="0"/>
        <w:rPr>
          <w:rFonts w:ascii="Verdana" w:hAnsi="Verdana"/>
          <w:iCs/>
          <w:sz w:val="18"/>
          <w:szCs w:val="18"/>
        </w:rPr>
      </w:pPr>
      <w:r>
        <w:rPr>
          <w:rFonts w:ascii="Verdana" w:hAnsi="Verdana"/>
          <w:iCs/>
          <w:sz w:val="18"/>
          <w:szCs w:val="18"/>
        </w:rPr>
        <w:t>Genoemde posten 2018 kunnen als volgt worden toegelicht.</w:t>
      </w:r>
    </w:p>
    <w:p w:rsidR="00170CAE" w:rsidRPr="001F7947" w:rsidRDefault="00170CAE" w:rsidP="007922F9">
      <w:pPr>
        <w:spacing w:after="0"/>
        <w:rPr>
          <w:rFonts w:ascii="Verdana" w:hAnsi="Verdana"/>
          <w:iCs/>
          <w:sz w:val="18"/>
          <w:szCs w:val="18"/>
        </w:rPr>
      </w:pPr>
      <w:r>
        <w:rPr>
          <w:rFonts w:ascii="Verdana" w:hAnsi="Verdana"/>
          <w:iCs/>
          <w:sz w:val="18"/>
          <w:szCs w:val="18"/>
        </w:rPr>
        <w:t xml:space="preserve"> </w:t>
      </w:r>
    </w:p>
    <w:p w:rsidR="007922F9" w:rsidRPr="00B40B7E" w:rsidRDefault="007922F9" w:rsidP="007922F9">
      <w:pPr>
        <w:spacing w:after="0"/>
        <w:rPr>
          <w:rFonts w:ascii="Verdana" w:hAnsi="Verdana"/>
          <w:i/>
          <w:sz w:val="18"/>
          <w:szCs w:val="18"/>
        </w:rPr>
      </w:pPr>
      <w:r w:rsidRPr="00B40B7E">
        <w:rPr>
          <w:rFonts w:ascii="Verdana" w:hAnsi="Verdana"/>
          <w:i/>
          <w:sz w:val="18"/>
          <w:szCs w:val="18"/>
        </w:rPr>
        <w:t>O</w:t>
      </w:r>
      <w:r w:rsidR="001F7947">
        <w:rPr>
          <w:rFonts w:ascii="Verdana" w:hAnsi="Verdana"/>
          <w:i/>
          <w:sz w:val="18"/>
          <w:szCs w:val="18"/>
        </w:rPr>
        <w:t>verdracht ontvangen giften t.b.v. de OPEN-campagne Gemeenteraadsverkiezingen 2018</w:t>
      </w:r>
    </w:p>
    <w:p w:rsidR="001F7947" w:rsidRDefault="001F7947" w:rsidP="007922F9">
      <w:pPr>
        <w:spacing w:after="0"/>
        <w:rPr>
          <w:rFonts w:ascii="Verdana" w:hAnsi="Verdana"/>
          <w:sz w:val="18"/>
          <w:szCs w:val="18"/>
        </w:rPr>
      </w:pPr>
      <w:r>
        <w:rPr>
          <w:rFonts w:ascii="Verdana" w:hAnsi="Verdana"/>
          <w:sz w:val="18"/>
          <w:szCs w:val="18"/>
        </w:rPr>
        <w:t xml:space="preserve">Op de rekening van Progressief Heuvelrug hebben </w:t>
      </w:r>
      <w:r w:rsidR="00D5474A">
        <w:rPr>
          <w:rFonts w:ascii="Verdana" w:hAnsi="Verdana"/>
          <w:sz w:val="18"/>
          <w:szCs w:val="18"/>
        </w:rPr>
        <w:t xml:space="preserve">enkele </w:t>
      </w:r>
      <w:r>
        <w:rPr>
          <w:rFonts w:ascii="Verdana" w:hAnsi="Verdana"/>
          <w:sz w:val="18"/>
          <w:szCs w:val="18"/>
        </w:rPr>
        <w:t xml:space="preserve">leden van OPEN </w:t>
      </w:r>
      <w:r w:rsidR="00D5474A">
        <w:rPr>
          <w:rFonts w:ascii="Verdana" w:hAnsi="Verdana"/>
          <w:sz w:val="18"/>
          <w:szCs w:val="18"/>
        </w:rPr>
        <w:t xml:space="preserve">gulle </w:t>
      </w:r>
      <w:r>
        <w:rPr>
          <w:rFonts w:ascii="Verdana" w:hAnsi="Verdana"/>
          <w:sz w:val="18"/>
          <w:szCs w:val="18"/>
        </w:rPr>
        <w:t xml:space="preserve">giften gestort bedoeld voor de </w:t>
      </w:r>
      <w:r w:rsidR="00D5474A">
        <w:rPr>
          <w:rFonts w:ascii="Verdana" w:hAnsi="Verdana"/>
          <w:sz w:val="18"/>
          <w:szCs w:val="18"/>
        </w:rPr>
        <w:t>het dragen van de campagnekosten voor de gemeenteraadsverkiezingen van maart 2018. Deze giften zijn overgedragen aan de afdeling PvdA die zorg droeg voor de vereffening van alle campagnekosten voor deze verkiezingen; samen met de afdeling van GroenLinks zijn alle gemaakte kosten onderling verrekend en gedragen.</w:t>
      </w:r>
    </w:p>
    <w:p w:rsidR="00D5474A" w:rsidRDefault="00D5474A" w:rsidP="007922F9">
      <w:pPr>
        <w:spacing w:after="0"/>
        <w:rPr>
          <w:rFonts w:ascii="Verdana" w:hAnsi="Verdana"/>
          <w:sz w:val="18"/>
          <w:szCs w:val="18"/>
        </w:rPr>
      </w:pPr>
    </w:p>
    <w:p w:rsidR="00D5474A" w:rsidRPr="00D5474A" w:rsidRDefault="00D5474A" w:rsidP="007922F9">
      <w:pPr>
        <w:spacing w:after="0"/>
        <w:rPr>
          <w:rFonts w:ascii="Verdana" w:hAnsi="Verdana"/>
          <w:i/>
          <w:iCs/>
          <w:sz w:val="18"/>
          <w:szCs w:val="18"/>
        </w:rPr>
      </w:pPr>
      <w:r w:rsidRPr="00D5474A">
        <w:rPr>
          <w:rFonts w:ascii="Verdana" w:hAnsi="Verdana"/>
          <w:i/>
          <w:iCs/>
          <w:sz w:val="18"/>
          <w:szCs w:val="18"/>
        </w:rPr>
        <w:t>Website en logo PH</w:t>
      </w:r>
    </w:p>
    <w:p w:rsidR="00D5474A" w:rsidRDefault="00D5474A" w:rsidP="007922F9">
      <w:pPr>
        <w:spacing w:after="0"/>
        <w:rPr>
          <w:rFonts w:ascii="Verdana" w:hAnsi="Verdana"/>
          <w:sz w:val="18"/>
          <w:szCs w:val="18"/>
        </w:rPr>
      </w:pPr>
      <w:r>
        <w:rPr>
          <w:rFonts w:ascii="Verdana" w:hAnsi="Verdana"/>
          <w:sz w:val="18"/>
          <w:szCs w:val="18"/>
        </w:rPr>
        <w:t xml:space="preserve">Om de ANBI-status te verwerven moest PH gaan voldoen aan eisen die de fiscus hier tegenwoordig aan verbindt. Daar hoort een eigen website bij waarop de vereniging alle formele bescheiden </w:t>
      </w:r>
      <w:r>
        <w:rPr>
          <w:rFonts w:ascii="Verdana" w:hAnsi="Verdana"/>
          <w:sz w:val="18"/>
          <w:szCs w:val="18"/>
        </w:rPr>
        <w:lastRenderedPageBreak/>
        <w:t>publiceert, zoals de bestuurssamenstelling en de jaarrekening. Er is zuinige vormgeving en hosting gerealiseerd, zodat de terugkerende kosten bescheiden blijven.</w:t>
      </w:r>
    </w:p>
    <w:p w:rsidR="007F4A4D" w:rsidRDefault="00D5474A" w:rsidP="007922F9">
      <w:pPr>
        <w:spacing w:after="0"/>
        <w:rPr>
          <w:rFonts w:ascii="Verdana" w:hAnsi="Verdana"/>
          <w:sz w:val="18"/>
          <w:szCs w:val="18"/>
        </w:rPr>
      </w:pPr>
      <w:r>
        <w:rPr>
          <w:rFonts w:ascii="Verdana" w:hAnsi="Verdana"/>
          <w:sz w:val="18"/>
          <w:szCs w:val="18"/>
        </w:rPr>
        <w:t>In de ALV van november 2018 is vastgelegd dat er een logo gemaakt moest worden</w:t>
      </w:r>
      <w:r w:rsidR="007F4A4D">
        <w:rPr>
          <w:rFonts w:ascii="Verdana" w:hAnsi="Verdana"/>
          <w:sz w:val="18"/>
          <w:szCs w:val="18"/>
        </w:rPr>
        <w:t>, dat past bij onze vereniging</w:t>
      </w:r>
      <w:r>
        <w:rPr>
          <w:rFonts w:ascii="Verdana" w:hAnsi="Verdana"/>
          <w:sz w:val="18"/>
          <w:szCs w:val="18"/>
        </w:rPr>
        <w:t>.</w:t>
      </w:r>
      <w:r w:rsidR="007F4A4D">
        <w:rPr>
          <w:rFonts w:ascii="Verdana" w:hAnsi="Verdana"/>
          <w:sz w:val="18"/>
          <w:szCs w:val="18"/>
        </w:rPr>
        <w:t xml:space="preserve"> Het bestuur heeft bijgaand logo vastgesteld.</w:t>
      </w:r>
    </w:p>
    <w:p w:rsidR="007F4A4D" w:rsidRDefault="007F4A4D" w:rsidP="007922F9">
      <w:pPr>
        <w:spacing w:after="0"/>
        <w:rPr>
          <w:rFonts w:ascii="Verdana" w:hAnsi="Verdana"/>
          <w:sz w:val="18"/>
          <w:szCs w:val="18"/>
        </w:rPr>
      </w:pPr>
    </w:p>
    <w:p w:rsidR="007F4A4D" w:rsidRPr="007F4A4D" w:rsidRDefault="007F4A4D" w:rsidP="007922F9">
      <w:pPr>
        <w:spacing w:after="0"/>
        <w:rPr>
          <w:rFonts w:ascii="Verdana" w:hAnsi="Verdana"/>
          <w:i/>
          <w:iCs/>
          <w:sz w:val="18"/>
          <w:szCs w:val="18"/>
        </w:rPr>
      </w:pPr>
      <w:r w:rsidRPr="007F4A4D">
        <w:rPr>
          <w:rFonts w:ascii="Verdana" w:hAnsi="Verdana"/>
          <w:i/>
          <w:iCs/>
          <w:sz w:val="18"/>
          <w:szCs w:val="18"/>
        </w:rPr>
        <w:t>Contributies en afdrachten</w:t>
      </w:r>
    </w:p>
    <w:p w:rsidR="007F4A4D" w:rsidRDefault="007F4A4D" w:rsidP="007922F9">
      <w:pPr>
        <w:spacing w:after="0"/>
        <w:rPr>
          <w:rFonts w:ascii="Verdana" w:hAnsi="Verdana"/>
          <w:sz w:val="18"/>
          <w:szCs w:val="18"/>
        </w:rPr>
      </w:pPr>
      <w:r>
        <w:rPr>
          <w:rFonts w:ascii="Verdana" w:hAnsi="Verdana"/>
          <w:sz w:val="18"/>
          <w:szCs w:val="18"/>
        </w:rPr>
        <w:t xml:space="preserve">Deze post bestaat uit drie delen. Conform de bestaande regeling </w:t>
      </w:r>
      <w:r w:rsidR="008424B9">
        <w:rPr>
          <w:rFonts w:ascii="Verdana" w:hAnsi="Verdana"/>
          <w:sz w:val="18"/>
          <w:szCs w:val="18"/>
        </w:rPr>
        <w:t xml:space="preserve">van PH </w:t>
      </w:r>
      <w:r>
        <w:rPr>
          <w:rFonts w:ascii="Verdana" w:hAnsi="Verdana"/>
          <w:sz w:val="18"/>
          <w:szCs w:val="18"/>
        </w:rPr>
        <w:t>droegen leden contributie af en een afdracht van ons raadslid dat PH-lid is. De derde component is een vrijwillige bijdrage van onze OPEN-wethouder. Het gaat om een tijdelijke invulling, want er moet door GroenLinks op landelijk niveau nog een besluit worden genomen over de lokale afdracht van een wethouder die namens een combinatie van politieke partijen aantrad.</w:t>
      </w:r>
    </w:p>
    <w:p w:rsidR="007F4A4D" w:rsidRDefault="007F4A4D" w:rsidP="007922F9">
      <w:pPr>
        <w:spacing w:after="0"/>
        <w:rPr>
          <w:rFonts w:ascii="Verdana" w:hAnsi="Verdana"/>
          <w:sz w:val="18"/>
          <w:szCs w:val="18"/>
        </w:rPr>
      </w:pPr>
    </w:p>
    <w:p w:rsidR="007922F9" w:rsidRPr="00B40B7E" w:rsidRDefault="007922F9" w:rsidP="007922F9">
      <w:pPr>
        <w:spacing w:after="0"/>
        <w:rPr>
          <w:rFonts w:ascii="Verdana" w:hAnsi="Verdana"/>
          <w:i/>
          <w:sz w:val="18"/>
          <w:szCs w:val="18"/>
        </w:rPr>
      </w:pPr>
      <w:r w:rsidRPr="00B40B7E">
        <w:rPr>
          <w:rFonts w:ascii="Verdana" w:hAnsi="Verdana"/>
          <w:i/>
          <w:sz w:val="18"/>
          <w:szCs w:val="18"/>
        </w:rPr>
        <w:t xml:space="preserve">Banksaldo </w:t>
      </w:r>
    </w:p>
    <w:p w:rsidR="000C0736" w:rsidRDefault="00E545BB" w:rsidP="007922F9">
      <w:pPr>
        <w:spacing w:after="0"/>
        <w:rPr>
          <w:rFonts w:ascii="Verdana" w:hAnsi="Verdana"/>
          <w:sz w:val="18"/>
          <w:szCs w:val="18"/>
        </w:rPr>
      </w:pPr>
      <w:r>
        <w:rPr>
          <w:rFonts w:ascii="Verdana" w:hAnsi="Verdana"/>
          <w:sz w:val="18"/>
          <w:szCs w:val="18"/>
        </w:rPr>
        <w:t xml:space="preserve">Per </w:t>
      </w:r>
      <w:r w:rsidR="007922F9" w:rsidRPr="00B40B7E">
        <w:rPr>
          <w:rFonts w:ascii="Verdana" w:hAnsi="Verdana"/>
          <w:sz w:val="18"/>
          <w:szCs w:val="18"/>
        </w:rPr>
        <w:t xml:space="preserve">31 december </w:t>
      </w:r>
      <w:r>
        <w:rPr>
          <w:rFonts w:ascii="Verdana" w:hAnsi="Verdana"/>
          <w:sz w:val="18"/>
          <w:szCs w:val="18"/>
        </w:rPr>
        <w:t xml:space="preserve">2018 had PH de beschikking over een </w:t>
      </w:r>
      <w:r w:rsidR="007922F9" w:rsidRPr="00B40B7E">
        <w:rPr>
          <w:rFonts w:ascii="Verdana" w:hAnsi="Verdana"/>
          <w:sz w:val="18"/>
          <w:szCs w:val="18"/>
        </w:rPr>
        <w:t xml:space="preserve">banksaldo </w:t>
      </w:r>
      <w:r>
        <w:rPr>
          <w:rFonts w:ascii="Verdana" w:hAnsi="Verdana"/>
          <w:sz w:val="18"/>
          <w:szCs w:val="18"/>
        </w:rPr>
        <w:t xml:space="preserve">van </w:t>
      </w:r>
      <w:r w:rsidR="007922F9" w:rsidRPr="00B40B7E">
        <w:rPr>
          <w:rFonts w:ascii="Verdana" w:hAnsi="Verdana"/>
          <w:sz w:val="18"/>
          <w:szCs w:val="18"/>
        </w:rPr>
        <w:t>€</w:t>
      </w:r>
      <w:r w:rsidR="007F4A4D">
        <w:rPr>
          <w:rFonts w:ascii="Verdana" w:hAnsi="Verdana"/>
          <w:sz w:val="18"/>
          <w:szCs w:val="18"/>
        </w:rPr>
        <w:t>940,88</w:t>
      </w:r>
      <w:r w:rsidR="007922F9" w:rsidRPr="00B40B7E">
        <w:rPr>
          <w:rFonts w:ascii="Verdana" w:hAnsi="Verdana"/>
          <w:sz w:val="18"/>
          <w:szCs w:val="18"/>
        </w:rPr>
        <w:t xml:space="preserve">. </w:t>
      </w:r>
    </w:p>
    <w:p w:rsidR="00E545BB" w:rsidRPr="00B40B7E" w:rsidRDefault="00E545BB" w:rsidP="007922F9">
      <w:pPr>
        <w:spacing w:after="0"/>
        <w:rPr>
          <w:rFonts w:ascii="Verdana" w:hAnsi="Verdana"/>
          <w:sz w:val="18"/>
          <w:szCs w:val="18"/>
        </w:rPr>
      </w:pPr>
    </w:p>
    <w:p w:rsidR="000C0736" w:rsidRPr="00B40B7E" w:rsidRDefault="000C0736" w:rsidP="007922F9">
      <w:pPr>
        <w:spacing w:after="0"/>
        <w:rPr>
          <w:rFonts w:ascii="Verdana" w:hAnsi="Verdana"/>
          <w:i/>
          <w:sz w:val="18"/>
          <w:szCs w:val="18"/>
        </w:rPr>
      </w:pPr>
      <w:r w:rsidRPr="00B40B7E">
        <w:rPr>
          <w:rFonts w:ascii="Verdana" w:hAnsi="Verdana"/>
          <w:i/>
          <w:sz w:val="18"/>
          <w:szCs w:val="18"/>
        </w:rPr>
        <w:t xml:space="preserve">Lening verstrekt door de </w:t>
      </w:r>
      <w:r w:rsidR="000E5A02" w:rsidRPr="00B40B7E">
        <w:rPr>
          <w:rFonts w:ascii="Verdana" w:hAnsi="Verdana"/>
          <w:i/>
          <w:sz w:val="18"/>
          <w:szCs w:val="18"/>
        </w:rPr>
        <w:t>PvdA-</w:t>
      </w:r>
      <w:r w:rsidRPr="00B40B7E">
        <w:rPr>
          <w:rFonts w:ascii="Verdana" w:hAnsi="Verdana"/>
          <w:i/>
          <w:sz w:val="18"/>
          <w:szCs w:val="18"/>
        </w:rPr>
        <w:t>afdeling</w:t>
      </w:r>
    </w:p>
    <w:p w:rsidR="000E5A02" w:rsidRPr="00B40B7E" w:rsidRDefault="000E5A02" w:rsidP="007922F9">
      <w:pPr>
        <w:spacing w:after="0"/>
        <w:rPr>
          <w:rFonts w:ascii="Verdana" w:hAnsi="Verdana"/>
          <w:sz w:val="18"/>
          <w:szCs w:val="18"/>
        </w:rPr>
      </w:pPr>
      <w:r w:rsidRPr="00B40B7E">
        <w:rPr>
          <w:rFonts w:ascii="Verdana" w:hAnsi="Verdana"/>
          <w:sz w:val="18"/>
          <w:szCs w:val="18"/>
        </w:rPr>
        <w:t>De PvdA-afdeling heeft de facturen van de notaris en de Kamer van Koophandel voldaan.</w:t>
      </w:r>
    </w:p>
    <w:p w:rsidR="000E5A02" w:rsidRPr="00B40B7E" w:rsidRDefault="000E5A02" w:rsidP="007922F9">
      <w:pPr>
        <w:spacing w:after="0"/>
        <w:rPr>
          <w:rFonts w:ascii="Verdana" w:hAnsi="Verdana"/>
          <w:sz w:val="18"/>
          <w:szCs w:val="18"/>
        </w:rPr>
      </w:pPr>
      <w:r w:rsidRPr="00B40B7E">
        <w:rPr>
          <w:rFonts w:ascii="Verdana" w:hAnsi="Verdana"/>
          <w:sz w:val="18"/>
          <w:szCs w:val="18"/>
        </w:rPr>
        <w:t>Deze zijn als een lening geboekt, die kan worden afgelost wanneer de financiële positie van PH voldoende robuust is.</w:t>
      </w:r>
    </w:p>
    <w:p w:rsidR="000E5A02" w:rsidRDefault="000E5A02" w:rsidP="007922F9">
      <w:pPr>
        <w:spacing w:after="0"/>
        <w:rPr>
          <w:rFonts w:ascii="Verdana" w:hAnsi="Verdana"/>
          <w:sz w:val="18"/>
          <w:szCs w:val="18"/>
        </w:rPr>
      </w:pPr>
    </w:p>
    <w:p w:rsidR="00E545BB" w:rsidRPr="00E545BB" w:rsidRDefault="00E545BB" w:rsidP="007922F9">
      <w:pPr>
        <w:spacing w:after="0"/>
        <w:rPr>
          <w:rFonts w:ascii="Verdana" w:hAnsi="Verdana"/>
          <w:i/>
          <w:iCs/>
          <w:sz w:val="18"/>
          <w:szCs w:val="18"/>
        </w:rPr>
      </w:pPr>
      <w:r w:rsidRPr="00E545BB">
        <w:rPr>
          <w:rFonts w:ascii="Verdana" w:hAnsi="Verdana"/>
          <w:i/>
          <w:iCs/>
          <w:sz w:val="18"/>
          <w:szCs w:val="18"/>
        </w:rPr>
        <w:t xml:space="preserve">Geen financiële bijdrage aan de campagne van 2018 </w:t>
      </w:r>
    </w:p>
    <w:p w:rsidR="00E545BB" w:rsidRDefault="00E545BB" w:rsidP="007922F9">
      <w:pPr>
        <w:spacing w:after="0"/>
        <w:rPr>
          <w:rFonts w:ascii="Verdana" w:hAnsi="Verdana"/>
          <w:sz w:val="18"/>
          <w:szCs w:val="18"/>
        </w:rPr>
      </w:pPr>
      <w:r>
        <w:rPr>
          <w:rFonts w:ascii="Verdana" w:hAnsi="Verdana"/>
          <w:sz w:val="18"/>
          <w:szCs w:val="18"/>
        </w:rPr>
        <w:t xml:space="preserve">Sinds de oprichting is PH is PH partner in de lokale samenwerking met de lokale afdeling van GroenLinks en de lokale afdeling van de PvdA. De penningmeesters van deze afdelingen hebben steeds vastgehouden aan de beleidslijn dat deze vereniging niet in opbouw was en geen </w:t>
      </w:r>
      <w:r w:rsidR="00170CAE">
        <w:rPr>
          <w:rFonts w:ascii="Verdana" w:hAnsi="Verdana"/>
          <w:sz w:val="18"/>
          <w:szCs w:val="18"/>
        </w:rPr>
        <w:t>financiële</w:t>
      </w:r>
      <w:r>
        <w:rPr>
          <w:rFonts w:ascii="Verdana" w:hAnsi="Verdana"/>
          <w:sz w:val="18"/>
          <w:szCs w:val="18"/>
        </w:rPr>
        <w:t xml:space="preserve"> bijdragen zou hoeven c.q. zou kunnen hebben aan de campagnekosten voor de gemeenteraadsverkiezingen van maart 2018. De eigen aanloopkosten van PH waren nog aanzienlijk.</w:t>
      </w:r>
    </w:p>
    <w:p w:rsidR="00E545BB" w:rsidRPr="00B40B7E" w:rsidRDefault="00E545BB" w:rsidP="00E545BB">
      <w:pPr>
        <w:spacing w:after="0"/>
        <w:rPr>
          <w:rFonts w:ascii="Verdana" w:hAnsi="Verdana"/>
          <w:sz w:val="18"/>
          <w:szCs w:val="18"/>
        </w:rPr>
      </w:pPr>
      <w:r>
        <w:rPr>
          <w:rFonts w:ascii="Verdana" w:hAnsi="Verdana"/>
          <w:sz w:val="18"/>
          <w:szCs w:val="18"/>
        </w:rPr>
        <w:t>In de meerjarenraming die door de penningmeesters is geaccordeerd zijn voor komende jaren bijdragen van PH voorzien aan de permanente campagne van OPEN en aan de campagne voor de gemeenteraadsverkiezingen van 2022.</w:t>
      </w:r>
    </w:p>
    <w:p w:rsidR="00E545BB" w:rsidRDefault="00E545BB" w:rsidP="007922F9">
      <w:pPr>
        <w:spacing w:after="0"/>
        <w:rPr>
          <w:rFonts w:ascii="Verdana" w:hAnsi="Verdana"/>
          <w:sz w:val="18"/>
          <w:szCs w:val="18"/>
        </w:rPr>
      </w:pPr>
    </w:p>
    <w:p w:rsidR="007922F9" w:rsidRPr="00B40B7E" w:rsidRDefault="00E545BB" w:rsidP="007922F9">
      <w:pPr>
        <w:spacing w:after="0"/>
        <w:rPr>
          <w:rFonts w:ascii="Verdana" w:hAnsi="Verdana"/>
          <w:i/>
          <w:sz w:val="18"/>
          <w:szCs w:val="18"/>
        </w:rPr>
      </w:pPr>
      <w:r>
        <w:rPr>
          <w:rFonts w:ascii="Verdana" w:hAnsi="Verdana"/>
          <w:i/>
          <w:sz w:val="18"/>
          <w:szCs w:val="18"/>
        </w:rPr>
        <w:t>Naar positieve</w:t>
      </w:r>
      <w:r w:rsidR="000E5A02" w:rsidRPr="00B40B7E">
        <w:rPr>
          <w:rFonts w:ascii="Verdana" w:hAnsi="Verdana"/>
          <w:i/>
          <w:sz w:val="18"/>
          <w:szCs w:val="18"/>
        </w:rPr>
        <w:t xml:space="preserve"> algemene reserve </w:t>
      </w:r>
    </w:p>
    <w:p w:rsidR="00E545BB" w:rsidRDefault="00E545BB">
      <w:pPr>
        <w:spacing w:after="0"/>
        <w:rPr>
          <w:rFonts w:ascii="Verdana" w:hAnsi="Verdana"/>
          <w:sz w:val="18"/>
          <w:szCs w:val="18"/>
        </w:rPr>
      </w:pPr>
      <w:r>
        <w:rPr>
          <w:rFonts w:ascii="Verdana" w:hAnsi="Verdana"/>
          <w:sz w:val="18"/>
          <w:szCs w:val="18"/>
        </w:rPr>
        <w:t xml:space="preserve">In 2017 sloot PH nog de boeken met een negatieve algemene reserve. Ultimo 2018 is deze algemene weer positief, </w:t>
      </w:r>
      <w:r w:rsidR="00170CAE">
        <w:rPr>
          <w:rFonts w:ascii="Verdana" w:hAnsi="Verdana"/>
          <w:sz w:val="18"/>
          <w:szCs w:val="18"/>
        </w:rPr>
        <w:t xml:space="preserve">vanwege het positieve resultaat in 2018. De reserve was zeker </w:t>
      </w:r>
      <w:r>
        <w:rPr>
          <w:rFonts w:ascii="Verdana" w:hAnsi="Verdana"/>
          <w:sz w:val="18"/>
          <w:szCs w:val="18"/>
        </w:rPr>
        <w:t xml:space="preserve">niet voldoende om de lening vanwege de oprichtingskosten </w:t>
      </w:r>
      <w:r w:rsidR="00170CAE">
        <w:rPr>
          <w:rFonts w:ascii="Verdana" w:hAnsi="Verdana"/>
          <w:sz w:val="18"/>
          <w:szCs w:val="18"/>
        </w:rPr>
        <w:t>af te lossen.</w:t>
      </w:r>
    </w:p>
    <w:p w:rsidR="00170CAE" w:rsidRDefault="00170CAE">
      <w:pPr>
        <w:spacing w:after="0"/>
        <w:rPr>
          <w:rFonts w:ascii="Verdana" w:hAnsi="Verdana"/>
          <w:sz w:val="18"/>
          <w:szCs w:val="18"/>
        </w:rPr>
      </w:pPr>
    </w:p>
    <w:p w:rsidR="00170CAE" w:rsidRDefault="00170CAE">
      <w:pPr>
        <w:spacing w:after="0"/>
        <w:rPr>
          <w:rFonts w:ascii="Verdana" w:hAnsi="Verdana"/>
          <w:i/>
          <w:iCs/>
          <w:sz w:val="18"/>
          <w:szCs w:val="18"/>
        </w:rPr>
      </w:pPr>
      <w:r w:rsidRPr="00170CAE">
        <w:rPr>
          <w:rFonts w:ascii="Verdana" w:hAnsi="Verdana"/>
          <w:i/>
          <w:iCs/>
          <w:sz w:val="18"/>
          <w:szCs w:val="18"/>
        </w:rPr>
        <w:t>Begroting 201</w:t>
      </w:r>
      <w:r w:rsidR="00567D98">
        <w:rPr>
          <w:rFonts w:ascii="Verdana" w:hAnsi="Verdana"/>
          <w:i/>
          <w:iCs/>
          <w:sz w:val="18"/>
          <w:szCs w:val="18"/>
        </w:rPr>
        <w:t>9</w:t>
      </w:r>
      <w:r w:rsidRPr="00170CAE">
        <w:rPr>
          <w:rFonts w:ascii="Verdana" w:hAnsi="Verdana"/>
          <w:i/>
          <w:iCs/>
          <w:sz w:val="18"/>
          <w:szCs w:val="18"/>
        </w:rPr>
        <w:t xml:space="preserve"> en 20</w:t>
      </w:r>
      <w:r w:rsidR="00567D98">
        <w:rPr>
          <w:rFonts w:ascii="Verdana" w:hAnsi="Verdana"/>
          <w:i/>
          <w:iCs/>
          <w:sz w:val="18"/>
          <w:szCs w:val="18"/>
        </w:rPr>
        <w:t>20</w:t>
      </w:r>
    </w:p>
    <w:p w:rsidR="00170CAE" w:rsidRPr="00170CAE" w:rsidRDefault="00170CAE">
      <w:pPr>
        <w:spacing w:after="0"/>
        <w:rPr>
          <w:rFonts w:ascii="Verdana" w:hAnsi="Verdana"/>
          <w:sz w:val="18"/>
          <w:szCs w:val="18"/>
        </w:rPr>
      </w:pPr>
      <w:r>
        <w:rPr>
          <w:rFonts w:ascii="Verdana" w:hAnsi="Verdana"/>
          <w:sz w:val="18"/>
          <w:szCs w:val="18"/>
        </w:rPr>
        <w:t>Pas in de begroting voor 2019 en 2020 volgen voorstellen voor besteding van de financiële ruimte aan de permanente campagne van OPEN en aan de verkiezingscampagne 2022.</w:t>
      </w:r>
    </w:p>
    <w:sectPr w:rsidR="00170CAE" w:rsidRPr="00170CAE" w:rsidSect="00170CAE">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7E" w:rsidRDefault="00E4797E" w:rsidP="00170CAE">
      <w:pPr>
        <w:spacing w:after="0" w:line="240" w:lineRule="auto"/>
      </w:pPr>
      <w:r>
        <w:separator/>
      </w:r>
    </w:p>
  </w:endnote>
  <w:endnote w:type="continuationSeparator" w:id="0">
    <w:p w:rsidR="00E4797E" w:rsidRDefault="00E4797E" w:rsidP="0017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496294"/>
      <w:docPartObj>
        <w:docPartGallery w:val="Page Numbers (Bottom of Page)"/>
        <w:docPartUnique/>
      </w:docPartObj>
    </w:sdtPr>
    <w:sdtEndPr>
      <w:rPr>
        <w:rFonts w:ascii="Verdana" w:hAnsi="Verdana"/>
        <w:i/>
        <w:iCs/>
        <w:sz w:val="16"/>
        <w:szCs w:val="16"/>
      </w:rPr>
    </w:sdtEndPr>
    <w:sdtContent>
      <w:p w:rsidR="00170CAE" w:rsidRPr="00170CAE" w:rsidRDefault="00170CAE">
        <w:pPr>
          <w:pStyle w:val="Voettekst"/>
          <w:jc w:val="right"/>
          <w:rPr>
            <w:rFonts w:ascii="Verdana" w:hAnsi="Verdana"/>
            <w:i/>
            <w:iCs/>
            <w:sz w:val="16"/>
            <w:szCs w:val="16"/>
          </w:rPr>
        </w:pPr>
        <w:r w:rsidRPr="00170CAE">
          <w:rPr>
            <w:rFonts w:ascii="Verdana" w:hAnsi="Verdana"/>
            <w:i/>
            <w:iCs/>
            <w:sz w:val="16"/>
            <w:szCs w:val="16"/>
          </w:rPr>
          <w:fldChar w:fldCharType="begin"/>
        </w:r>
        <w:r w:rsidRPr="00170CAE">
          <w:rPr>
            <w:rFonts w:ascii="Verdana" w:hAnsi="Verdana"/>
            <w:i/>
            <w:iCs/>
            <w:sz w:val="16"/>
            <w:szCs w:val="16"/>
          </w:rPr>
          <w:instrText>PAGE   \* MERGEFORMAT</w:instrText>
        </w:r>
        <w:r w:rsidRPr="00170CAE">
          <w:rPr>
            <w:rFonts w:ascii="Verdana" w:hAnsi="Verdana"/>
            <w:i/>
            <w:iCs/>
            <w:sz w:val="16"/>
            <w:szCs w:val="16"/>
          </w:rPr>
          <w:fldChar w:fldCharType="separate"/>
        </w:r>
        <w:r w:rsidRPr="00170CAE">
          <w:rPr>
            <w:rFonts w:ascii="Verdana" w:hAnsi="Verdana"/>
            <w:i/>
            <w:iCs/>
            <w:sz w:val="16"/>
            <w:szCs w:val="16"/>
          </w:rPr>
          <w:t>2</w:t>
        </w:r>
        <w:r w:rsidRPr="00170CAE">
          <w:rPr>
            <w:rFonts w:ascii="Verdana" w:hAnsi="Verdana"/>
            <w:i/>
            <w:iCs/>
            <w:sz w:val="16"/>
            <w:szCs w:val="16"/>
          </w:rPr>
          <w:fldChar w:fldCharType="end"/>
        </w:r>
      </w:p>
    </w:sdtContent>
  </w:sdt>
  <w:p w:rsidR="00170CAE" w:rsidRDefault="00170C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7E" w:rsidRDefault="00E4797E" w:rsidP="00170CAE">
      <w:pPr>
        <w:spacing w:after="0" w:line="240" w:lineRule="auto"/>
      </w:pPr>
      <w:r>
        <w:separator/>
      </w:r>
    </w:p>
  </w:footnote>
  <w:footnote w:type="continuationSeparator" w:id="0">
    <w:p w:rsidR="00E4797E" w:rsidRDefault="00E4797E" w:rsidP="0017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D7"/>
    <w:rsid w:val="000C0736"/>
    <w:rsid w:val="000E5A02"/>
    <w:rsid w:val="00170CAE"/>
    <w:rsid w:val="001F7947"/>
    <w:rsid w:val="004856A5"/>
    <w:rsid w:val="00491E58"/>
    <w:rsid w:val="004B77B9"/>
    <w:rsid w:val="00567D98"/>
    <w:rsid w:val="00730774"/>
    <w:rsid w:val="007922F9"/>
    <w:rsid w:val="007D40D7"/>
    <w:rsid w:val="007F4A4D"/>
    <w:rsid w:val="008424B9"/>
    <w:rsid w:val="0096338B"/>
    <w:rsid w:val="00A50C1E"/>
    <w:rsid w:val="00B40B7E"/>
    <w:rsid w:val="00D5474A"/>
    <w:rsid w:val="00E4797E"/>
    <w:rsid w:val="00E545BB"/>
    <w:rsid w:val="00F24A62"/>
    <w:rsid w:val="00FF1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5BBC"/>
  <w15:chartTrackingRefBased/>
  <w15:docId w15:val="{C6A12D9A-C48D-48B7-909A-C8E702F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0C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0CAE"/>
  </w:style>
  <w:style w:type="paragraph" w:styleId="Voettekst">
    <w:name w:val="footer"/>
    <w:basedOn w:val="Standaard"/>
    <w:link w:val="VoettekstChar"/>
    <w:uiPriority w:val="99"/>
    <w:unhideWhenUsed/>
    <w:rsid w:val="00170C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1000">
      <w:bodyDiv w:val="1"/>
      <w:marLeft w:val="0"/>
      <w:marRight w:val="0"/>
      <w:marTop w:val="0"/>
      <w:marBottom w:val="0"/>
      <w:divBdr>
        <w:top w:val="none" w:sz="0" w:space="0" w:color="auto"/>
        <w:left w:val="none" w:sz="0" w:space="0" w:color="auto"/>
        <w:bottom w:val="none" w:sz="0" w:space="0" w:color="auto"/>
        <w:right w:val="none" w:sz="0" w:space="0" w:color="auto"/>
      </w:divBdr>
    </w:div>
    <w:div w:id="547226384">
      <w:bodyDiv w:val="1"/>
      <w:marLeft w:val="0"/>
      <w:marRight w:val="0"/>
      <w:marTop w:val="0"/>
      <w:marBottom w:val="0"/>
      <w:divBdr>
        <w:top w:val="none" w:sz="0" w:space="0" w:color="auto"/>
        <w:left w:val="none" w:sz="0" w:space="0" w:color="auto"/>
        <w:bottom w:val="none" w:sz="0" w:space="0" w:color="auto"/>
        <w:right w:val="none" w:sz="0" w:space="0" w:color="auto"/>
      </w:divBdr>
    </w:div>
    <w:div w:id="1363673744">
      <w:bodyDiv w:val="1"/>
      <w:marLeft w:val="0"/>
      <w:marRight w:val="0"/>
      <w:marTop w:val="0"/>
      <w:marBottom w:val="0"/>
      <w:divBdr>
        <w:top w:val="none" w:sz="0" w:space="0" w:color="auto"/>
        <w:left w:val="none" w:sz="0" w:space="0" w:color="auto"/>
        <w:bottom w:val="none" w:sz="0" w:space="0" w:color="auto"/>
        <w:right w:val="none" w:sz="0" w:space="0" w:color="auto"/>
      </w:divBdr>
    </w:div>
    <w:div w:id="1717393632">
      <w:bodyDiv w:val="1"/>
      <w:marLeft w:val="0"/>
      <w:marRight w:val="0"/>
      <w:marTop w:val="0"/>
      <w:marBottom w:val="0"/>
      <w:divBdr>
        <w:top w:val="none" w:sz="0" w:space="0" w:color="auto"/>
        <w:left w:val="none" w:sz="0" w:space="0" w:color="auto"/>
        <w:bottom w:val="none" w:sz="0" w:space="0" w:color="auto"/>
        <w:right w:val="none" w:sz="0" w:space="0" w:color="auto"/>
      </w:divBdr>
    </w:div>
    <w:div w:id="19291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661</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Halma</dc:creator>
  <cp:keywords/>
  <dc:description/>
  <cp:lastModifiedBy>Age Halma</cp:lastModifiedBy>
  <cp:revision>4</cp:revision>
  <dcterms:created xsi:type="dcterms:W3CDTF">2019-10-14T13:41:00Z</dcterms:created>
  <dcterms:modified xsi:type="dcterms:W3CDTF">2019-10-21T14:05:00Z</dcterms:modified>
</cp:coreProperties>
</file>